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4320"/>
      </w:tblGrid>
      <w:tr>
        <w:tc>
          <w:tcPr>
            <w:tcW w:type="dxa" w:w="4730"/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1920240" cy="37528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oniralabs_dark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37528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30"/>
          </w:tcPr>
          <w:p>
            <w:pPr>
              <w:jc w:val="right"/>
            </w:pPr>
            <w:r>
              <w:rPr>
                <w:b/>
                <w:color w:val="0284C7"/>
                <w:sz w:val="19"/>
              </w:rPr>
              <w:t>SOUL BRANDING × ONIRA LABS</w:t>
              <w:br/>
            </w:r>
            <w:r>
              <w:rPr>
                <w:color w:val="64748B"/>
                <w:sz w:val="17"/>
              </w:rPr>
              <w:t>Devolutiva Comercial Executiva</w:t>
              <w:br/>
              <w:t>A/C Mateus Loreto • Setembro / 2026</w:t>
            </w:r>
          </w:p>
        </w:tc>
      </w:tr>
    </w:tbl>
    <w:p>
      <w:pPr>
        <w:spacing w:before="160" w:after="280"/>
      </w:pPr>
      <w:r>
        <w:rPr>
          <w:color w:val="E2E8F0"/>
          <w:sz w:val="20"/>
        </w:rPr>
        <w:t>――――――――――――――――――――――――――――――――――――――――――――――――――――――――――</w:t>
      </w:r>
    </w:p>
    <w:p>
      <w:pPr>
        <w:spacing w:before="0" w:after="80"/>
      </w:pPr>
      <w:r>
        <w:rPr>
          <w:rFonts w:ascii="Arial" w:hAnsi="Arial"/>
          <w:b/>
          <w:color w:val="0F172A"/>
          <w:sz w:val="44"/>
        </w:rPr>
        <w:t>Proposta Comercial Executiva</w:t>
      </w:r>
    </w:p>
    <w:p>
      <w:pPr>
        <w:spacing w:after="320"/>
      </w:pPr>
      <w:r>
        <w:rPr>
          <w:rFonts w:ascii="Arial" w:hAnsi="Arial"/>
          <w:color w:val="334155"/>
          <w:sz w:val="22"/>
        </w:rPr>
        <w:t>Guia de Caxias do Sul — Modernização de UI/UX, Design System React e 8 Templates Mestres (Lei Rouanet)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65"/>
        <w:gridCol w:w="2365"/>
        <w:gridCol w:w="2365"/>
        <w:gridCol w:w="2365"/>
      </w:tblGrid>
      <w:tr>
        <w:tc>
          <w:tcPr>
            <w:tcW w:type="dxa" w:w="2362"/>
            <w:shd w:fill="F8FAFC"/>
            <w:tcMar>
              <w:top w:w="140" w:type="dxa"/>
              <w:bottom w:w="140" w:type="dxa"/>
              <w:left w:w="100" w:type="dxa"/>
              <w:right w:w="100" w:type="dxa"/>
            </w:tcMar>
            <w:tcBorders>
              <w:top w:val="single" w:sz="6" w:space="0" w:color="E2E8F0"/>
              <w:bottom w:val="single" w:sz="6" w:space="0" w:color="CBD5E1"/>
              <w:left w:val="single" w:sz="6" w:space="0" w:color="E2E8F0"/>
              <w:right w:val="single" w:sz="6" w:space="0" w:color="E2E8F0"/>
            </w:tcBorders>
          </w:tcPr>
          <w:p>
            <w:pPr>
              <w:jc w:val="center"/>
            </w:pPr>
            <w:r>
              <w:rPr>
                <w:b/>
                <w:color w:val="64748B"/>
                <w:sz w:val="15"/>
              </w:rPr>
              <w:t>INVESTIMENTO TOTAL</w:t>
              <w:br/>
            </w:r>
            <w:r>
              <w:rPr>
                <w:b/>
                <w:color w:val="B45309"/>
                <w:sz w:val="28"/>
              </w:rPr>
              <w:t>R$ 39.800</w:t>
              <w:br/>
            </w:r>
            <w:r>
              <w:rPr>
                <w:color w:val="334155"/>
                <w:sz w:val="15"/>
              </w:rPr>
              <w:t>4 Etapas Racionais</w:t>
            </w:r>
          </w:p>
        </w:tc>
        <w:tc>
          <w:tcPr>
            <w:tcW w:type="dxa" w:w="2362"/>
            <w:shd w:fill="F8FAFC"/>
            <w:tcMar>
              <w:top w:w="140" w:type="dxa"/>
              <w:bottom w:w="140" w:type="dxa"/>
              <w:left w:w="100" w:type="dxa"/>
              <w:right w:w="100" w:type="dxa"/>
            </w:tcMar>
            <w:tcBorders>
              <w:top w:val="single" w:sz="6" w:space="0" w:color="E2E8F0"/>
              <w:bottom w:val="single" w:sz="6" w:space="0" w:color="CBD5E1"/>
              <w:left w:val="single" w:sz="6" w:space="0" w:color="E2E8F0"/>
              <w:right w:val="single" w:sz="6" w:space="0" w:color="E2E8F0"/>
            </w:tcBorders>
          </w:tcPr>
          <w:p>
            <w:pPr>
              <w:jc w:val="center"/>
            </w:pPr>
            <w:r>
              <w:rPr>
                <w:b/>
                <w:color w:val="64748B"/>
                <w:sz w:val="15"/>
              </w:rPr>
              <w:t>PRAZO DE EXECUÇÃO</w:t>
              <w:br/>
            </w:r>
            <w:r>
              <w:rPr>
                <w:b/>
                <w:color w:val="0F172A"/>
                <w:sz w:val="28"/>
              </w:rPr>
              <w:t>60 Dias</w:t>
              <w:br/>
            </w:r>
            <w:r>
              <w:rPr>
                <w:color w:val="334155"/>
                <w:sz w:val="15"/>
              </w:rPr>
              <w:t>Cronograma com Marcos</w:t>
            </w:r>
          </w:p>
        </w:tc>
        <w:tc>
          <w:tcPr>
            <w:tcW w:type="dxa" w:w="2362"/>
            <w:shd w:fill="F8FAFC"/>
            <w:tcMar>
              <w:top w:w="140" w:type="dxa"/>
              <w:bottom w:w="140" w:type="dxa"/>
              <w:left w:w="100" w:type="dxa"/>
              <w:right w:w="100" w:type="dxa"/>
            </w:tcMar>
            <w:tcBorders>
              <w:top w:val="single" w:sz="6" w:space="0" w:color="E2E8F0"/>
              <w:bottom w:val="single" w:sz="6" w:space="0" w:color="CBD5E1"/>
              <w:left w:val="single" w:sz="6" w:space="0" w:color="E2E8F0"/>
              <w:right w:val="single" w:sz="6" w:space="0" w:color="E2E8F0"/>
            </w:tcBorders>
          </w:tcPr>
          <w:p>
            <w:pPr>
              <w:jc w:val="center"/>
            </w:pPr>
            <w:r>
              <w:rPr>
                <w:b/>
                <w:color w:val="64748B"/>
                <w:sz w:val="15"/>
              </w:rPr>
              <w:t>MOLDES ESTRUTURAIS</w:t>
              <w:br/>
            </w:r>
            <w:r>
              <w:rPr>
                <w:b/>
                <w:color w:val="0284C7"/>
                <w:sz w:val="28"/>
              </w:rPr>
              <w:t>8 Templates</w:t>
              <w:br/>
            </w:r>
            <w:r>
              <w:rPr>
                <w:color w:val="334155"/>
                <w:sz w:val="15"/>
              </w:rPr>
              <w:t>Desktop + Mobile 390px</w:t>
            </w:r>
          </w:p>
        </w:tc>
        <w:tc>
          <w:tcPr>
            <w:tcW w:type="dxa" w:w="2362"/>
            <w:shd w:fill="F8FAFC"/>
            <w:tcMar>
              <w:top w:w="140" w:type="dxa"/>
              <w:bottom w:w="140" w:type="dxa"/>
              <w:left w:w="100" w:type="dxa"/>
              <w:right w:w="100" w:type="dxa"/>
            </w:tcMar>
            <w:tcBorders>
              <w:top w:val="single" w:sz="6" w:space="0" w:color="E2E8F0"/>
              <w:bottom w:val="single" w:sz="6" w:space="0" w:color="CBD5E1"/>
              <w:left w:val="single" w:sz="6" w:space="0" w:color="E2E8F0"/>
              <w:right w:val="single" w:sz="6" w:space="0" w:color="E2E8F0"/>
            </w:tcBorders>
          </w:tcPr>
          <w:p>
            <w:pPr>
              <w:jc w:val="center"/>
            </w:pPr>
            <w:r>
              <w:rPr>
                <w:b/>
                <w:color w:val="64748B"/>
                <w:sz w:val="15"/>
              </w:rPr>
              <w:t>GOVERNANÇA TI</w:t>
              <w:br/>
            </w:r>
            <w:r>
              <w:rPr>
                <w:b/>
                <w:color w:val="0F172A"/>
                <w:sz w:val="28"/>
              </w:rPr>
              <w:t>React / Tokens</w:t>
              <w:br/>
            </w:r>
            <w:r>
              <w:rPr>
                <w:color w:val="334155"/>
                <w:sz w:val="15"/>
              </w:rPr>
              <w:t>Handoff para o Diogo</w:t>
            </w:r>
          </w:p>
        </w:tc>
      </w:tr>
    </w:tbl>
    <w:p>
      <w:pPr>
        <w:spacing w:after="200"/>
      </w:pPr>
    </w:p>
    <w:p>
      <w:pPr>
        <w:spacing w:before="240" w:after="120"/>
      </w:pPr>
      <w:r>
        <w:rPr>
          <w:b/>
          <w:color w:val="0F172A"/>
          <w:sz w:val="26"/>
        </w:rPr>
        <w:t>1. Posicionamento Estratégico &amp; A Régua de Ouro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61"/>
      </w:tblGrid>
      <w:tr>
        <w:tc>
          <w:tcPr>
            <w:tcW w:type="dxa" w:w="9432"/>
            <w:shd w:fill="F0F9FF"/>
            <w:tcMar>
              <w:top w:w="160" w:type="dxa"/>
              <w:bottom w:w="160" w:type="dxa"/>
              <w:left w:w="180" w:type="dxa"/>
              <w:right w:w="180" w:type="dxa"/>
            </w:tcMar>
            <w:tcBorders>
              <w:top w:val="single" w:sz="16" w:space="0" w:color="BAE6FD"/>
              <w:bottom w:val="single" w:sz="16" w:space="0" w:color="BAE6FD"/>
              <w:left w:val="single" w:sz="16" w:space="0" w:color="0284C7"/>
              <w:right w:val="single" w:sz="16" w:space="0" w:color="BAE6FD"/>
            </w:tcBorders>
          </w:tcPr>
          <w:p>
            <w:r>
              <w:rPr>
                <w:b/>
                <w:color w:val="0284C7"/>
                <w:sz w:val="20"/>
              </w:rPr>
              <w:t>A Régua de Ouro Mantida Integralmente:</w:t>
              <w:br/>
            </w:r>
            <w:r>
              <w:rPr>
                <w:color w:val="334155"/>
                <w:sz w:val="19"/>
              </w:rPr>
              <w:t>"O que estende padrão, entra. O que vira refação, fica fora."</w:t>
              <w:br/>
              <w:t>O escopo deste projeto foi desenhado sob medida para blindar a operação da Soul e do Diogo (TI): não desenhamos telas avulsas uma a uma nem cobramos pela migração individual de centenas de páginas legadas. Desenvolvemos um Sistema de Design Escalável no Figma e 8 Templates Mestres que o banco de dados do Guia alimenta dinamicamente em React, atendendo com perfeição aos requisitos da Lei Rouanet e garantindo usabilidade de ponta para os próximos 10 anos.</w:t>
            </w:r>
          </w:p>
        </w:tc>
      </w:tr>
    </w:tbl>
    <w:p>
      <w:pPr>
        <w:spacing w:after="200"/>
      </w:pPr>
    </w:p>
    <w:p>
      <w:pPr>
        <w:spacing w:before="240" w:after="120"/>
      </w:pPr>
      <w:r>
        <w:rPr>
          <w:b/>
          <w:color w:val="0F172A"/>
          <w:sz w:val="26"/>
        </w:rPr>
        <w:t>2. Racional Econômico das 4 Etapas (R$ 39.800,00)</w:t>
      </w:r>
    </w:p>
    <w:p>
      <w:pPr>
        <w:spacing w:after="160"/>
      </w:pPr>
      <w:r>
        <w:rPr>
          <w:color w:val="334155"/>
          <w:sz w:val="19"/>
        </w:rPr>
        <w:t>Cada centavo corresponde a entregáveis técnicos objetivos e auditáveis, organizados em uma esteira lógica sem sobreposição ou desperdício: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92"/>
        <w:gridCol w:w="1892"/>
        <w:gridCol w:w="1892"/>
        <w:gridCol w:w="1892"/>
        <w:gridCol w:w="1892"/>
      </w:tblGrid>
      <w:tr>
        <w:tc>
          <w:tcPr>
            <w:tcW w:type="dxa" w:w="1440"/>
            <w:shd w:fill="0F172A"/>
            <w:tcMar>
              <w:top w:w="140" w:type="dxa"/>
              <w:bottom w:w="140" w:type="dxa"/>
              <w:left w:w="100" w:type="dxa"/>
              <w:right w:w="100" w:type="dxa"/>
            </w:tcMar>
            <w:tcBorders>
              <w:top w:val="single" w:sz="4" w:space="0" w:color="0F172A"/>
              <w:bottom w:val="single" w:sz="4" w:space="0" w:color="0F172A"/>
              <w:left w:val="none"/>
              <w:right w:val="none"/>
            </w:tcBorders>
          </w:tcPr>
          <w:p>
            <w:r>
              <w:rPr>
                <w:b/>
                <w:color w:val="FFFFFF"/>
                <w:sz w:val="17"/>
              </w:rPr>
              <w:t>Etapa</w:t>
            </w:r>
          </w:p>
        </w:tc>
        <w:tc>
          <w:tcPr>
            <w:tcW w:type="dxa" w:w="3960"/>
            <w:shd w:fill="0F172A"/>
            <w:tcMar>
              <w:top w:w="140" w:type="dxa"/>
              <w:bottom w:w="140" w:type="dxa"/>
              <w:left w:w="100" w:type="dxa"/>
              <w:right w:w="100" w:type="dxa"/>
            </w:tcMar>
            <w:tcBorders>
              <w:top w:val="single" w:sz="4" w:space="0" w:color="0F172A"/>
              <w:bottom w:val="single" w:sz="4" w:space="0" w:color="0F172A"/>
              <w:left w:val="none"/>
              <w:right w:val="none"/>
            </w:tcBorders>
          </w:tcPr>
          <w:p>
            <w:r>
              <w:rPr>
                <w:b/>
                <w:color w:val="FFFFFF"/>
                <w:sz w:val="17"/>
              </w:rPr>
              <w:t>Escopo &amp; Entregáveis Técnicos</w:t>
            </w:r>
          </w:p>
        </w:tc>
        <w:tc>
          <w:tcPr>
            <w:tcW w:type="dxa" w:w="1584"/>
            <w:shd w:fill="0F172A"/>
            <w:tcMar>
              <w:top w:w="140" w:type="dxa"/>
              <w:bottom w:w="140" w:type="dxa"/>
              <w:left w:w="100" w:type="dxa"/>
              <w:right w:w="100" w:type="dxa"/>
            </w:tcMar>
            <w:tcBorders>
              <w:top w:val="single" w:sz="4" w:space="0" w:color="0F172A"/>
              <w:bottom w:val="single" w:sz="4" w:space="0" w:color="0F172A"/>
              <w:left w:val="none"/>
              <w:right w:val="none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Prazo</w:t>
            </w:r>
          </w:p>
        </w:tc>
        <w:tc>
          <w:tcPr>
            <w:tcW w:type="dxa" w:w="1008"/>
            <w:shd w:fill="0F172A"/>
            <w:tcMar>
              <w:top w:w="140" w:type="dxa"/>
              <w:bottom w:w="140" w:type="dxa"/>
              <w:left w:w="100" w:type="dxa"/>
              <w:right w:w="100" w:type="dxa"/>
            </w:tcMar>
            <w:tcBorders>
              <w:top w:val="single" w:sz="4" w:space="0" w:color="0F172A"/>
              <w:bottom w:val="single" w:sz="4" w:space="0" w:color="0F172A"/>
              <w:left w:val="none"/>
              <w:right w:val="none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Prop.</w:t>
            </w:r>
          </w:p>
        </w:tc>
        <w:tc>
          <w:tcPr>
            <w:tcW w:type="dxa" w:w="1440"/>
            <w:shd w:fill="0F172A"/>
            <w:tcMar>
              <w:top w:w="140" w:type="dxa"/>
              <w:bottom w:w="140" w:type="dxa"/>
              <w:left w:w="100" w:type="dxa"/>
              <w:right w:w="100" w:type="dxa"/>
            </w:tcMar>
            <w:tcBorders>
              <w:top w:val="single" w:sz="4" w:space="0" w:color="0F172A"/>
              <w:bottom w:val="single" w:sz="4" w:space="0" w:color="0F172A"/>
              <w:left w:val="none"/>
              <w:right w:val="none"/>
            </w:tcBorders>
          </w:tcPr>
          <w:p>
            <w:pPr>
              <w:jc w:val="right"/>
            </w:pPr>
            <w:r>
              <w:rPr>
                <w:b/>
                <w:color w:val="FFFFFF"/>
                <w:sz w:val="17"/>
              </w:rPr>
              <w:t>Investimento</w:t>
            </w:r>
          </w:p>
        </w:tc>
      </w:tr>
      <w:tr>
        <w:tc>
          <w:tcPr>
            <w:tcW w:type="dxa" w:w="1440"/>
            <w:shd w:fill="FFFFFF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8"/>
              </w:rPr>
              <w:t>Bloco A</w:t>
            </w:r>
          </w:p>
        </w:tc>
        <w:tc>
          <w:tcPr>
            <w:tcW w:type="dxa" w:w="3960"/>
            <w:shd w:fill="FFFFFF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7"/>
              </w:rPr>
              <w:t>Diagnóstico UX/IA, Benchmarking &amp; Direção de Arte Cultural</w:t>
              <w:br/>
            </w:r>
            <w:r>
              <w:rPr>
                <w:color w:val="334155"/>
                <w:sz w:val="16"/>
              </w:rPr>
              <w:t>Auditoria do legado, taxonomia Rouanet e arquitetura do Mapa.</w:t>
            </w:r>
          </w:p>
        </w:tc>
        <w:tc>
          <w:tcPr>
            <w:tcW w:type="dxa" w:w="1584"/>
            <w:shd w:fill="FFFFFF"/>
            <w:tcMar>
              <w:top w:w="120" w:type="dxa"/>
              <w:bottom w:w="120" w:type="dxa"/>
              <w:left w:w="60" w:type="dxa"/>
              <w:right w:w="6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pPr>
              <w:jc w:val="center"/>
            </w:pPr>
            <w:r>
              <w:rPr>
                <w:color w:val="334155"/>
                <w:sz w:val="17"/>
              </w:rPr>
              <w:t>Dias 01 a 10</w:t>
            </w:r>
          </w:p>
        </w:tc>
        <w:tc>
          <w:tcPr>
            <w:tcW w:type="dxa" w:w="1008"/>
            <w:shd w:fill="FFFFFF"/>
            <w:tcMar>
              <w:top w:w="120" w:type="dxa"/>
              <w:bottom w:w="120" w:type="dxa"/>
              <w:left w:w="60" w:type="dxa"/>
              <w:right w:w="6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pPr>
              <w:jc w:val="center"/>
            </w:pPr>
            <w:r>
              <w:rPr>
                <w:color w:val="64748B"/>
                <w:sz w:val="17"/>
              </w:rPr>
              <w:t>17,1%</w:t>
            </w:r>
          </w:p>
        </w:tc>
        <w:tc>
          <w:tcPr>
            <w:tcW w:type="dxa" w:w="1440"/>
            <w:shd w:fill="FFFFFF"/>
            <w:tcMar>
              <w:top w:w="120" w:type="dxa"/>
              <w:bottom w:w="120" w:type="dxa"/>
              <w:left w:w="8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pPr>
              <w:jc w:val="right"/>
            </w:pPr>
            <w:r>
              <w:rPr>
                <w:b/>
                <w:color w:val="0F172A"/>
                <w:sz w:val="18"/>
              </w:rPr>
              <w:t>R$ 6.800,00</w:t>
            </w:r>
          </w:p>
        </w:tc>
      </w:tr>
      <w:tr>
        <w:tc>
          <w:tcPr>
            <w:tcW w:type="dxa" w:w="1440"/>
            <w:shd w:fill="F8FAFC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8"/>
              </w:rPr>
              <w:t>Bloco B</w:t>
            </w:r>
          </w:p>
        </w:tc>
        <w:tc>
          <w:tcPr>
            <w:tcW w:type="dxa" w:w="3960"/>
            <w:shd w:fill="F8FAFC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7"/>
              </w:rPr>
              <w:t>Design System Digital &amp; Tokens React + WCAG 2.1 AA</w:t>
              <w:br/>
            </w:r>
            <w:r>
              <w:rPr>
                <w:color w:val="334155"/>
                <w:sz w:val="16"/>
              </w:rPr>
              <w:t>Grid 8pt, tipografia, cores, botões, cards, matriz de estados e acessibilidade legal.</w:t>
            </w:r>
          </w:p>
        </w:tc>
        <w:tc>
          <w:tcPr>
            <w:tcW w:type="dxa" w:w="1584"/>
            <w:shd w:fill="F8FAFC"/>
            <w:tcMar>
              <w:top w:w="120" w:type="dxa"/>
              <w:bottom w:w="120" w:type="dxa"/>
              <w:left w:w="60" w:type="dxa"/>
              <w:right w:w="6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pPr>
              <w:jc w:val="center"/>
            </w:pPr>
            <w:r>
              <w:rPr>
                <w:color w:val="334155"/>
                <w:sz w:val="17"/>
              </w:rPr>
              <w:t>Dias 11 a 25</w:t>
            </w:r>
          </w:p>
        </w:tc>
        <w:tc>
          <w:tcPr>
            <w:tcW w:type="dxa" w:w="1008"/>
            <w:shd w:fill="F8FAFC"/>
            <w:tcMar>
              <w:top w:w="120" w:type="dxa"/>
              <w:bottom w:w="120" w:type="dxa"/>
              <w:left w:w="60" w:type="dxa"/>
              <w:right w:w="6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pPr>
              <w:jc w:val="center"/>
            </w:pPr>
            <w:r>
              <w:rPr>
                <w:color w:val="64748B"/>
                <w:sz w:val="17"/>
              </w:rPr>
              <w:t>24,6%</w:t>
            </w:r>
          </w:p>
        </w:tc>
        <w:tc>
          <w:tcPr>
            <w:tcW w:type="dxa" w:w="1440"/>
            <w:shd w:fill="F8FAFC"/>
            <w:tcMar>
              <w:top w:w="120" w:type="dxa"/>
              <w:bottom w:w="120" w:type="dxa"/>
              <w:left w:w="8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pPr>
              <w:jc w:val="right"/>
            </w:pPr>
            <w:r>
              <w:rPr>
                <w:b/>
                <w:color w:val="0F172A"/>
                <w:sz w:val="18"/>
              </w:rPr>
              <w:t>R$ 9.800,00</w:t>
            </w:r>
          </w:p>
        </w:tc>
      </w:tr>
      <w:tr>
        <w:tc>
          <w:tcPr>
            <w:tcW w:type="dxa" w:w="1440"/>
            <w:shd w:fill="FFFFFF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8"/>
              </w:rPr>
              <w:t>Bloco C</w:t>
            </w:r>
          </w:p>
        </w:tc>
        <w:tc>
          <w:tcPr>
            <w:tcW w:type="dxa" w:w="3960"/>
            <w:shd w:fill="FFFFFF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7"/>
              </w:rPr>
              <w:t>Engenharia Visual: 8 Templates Mestres Desktop</w:t>
              <w:br/>
            </w:r>
            <w:r>
              <w:rPr>
                <w:color w:val="334155"/>
                <w:sz w:val="16"/>
              </w:rPr>
              <w:t>Home, Subcategorias, Comercial, Rouanet, Distritos, Hub, Mapa e Notícias.</w:t>
            </w:r>
          </w:p>
        </w:tc>
        <w:tc>
          <w:tcPr>
            <w:tcW w:type="dxa" w:w="1584"/>
            <w:shd w:fill="FFFFFF"/>
            <w:tcMar>
              <w:top w:w="120" w:type="dxa"/>
              <w:bottom w:w="120" w:type="dxa"/>
              <w:left w:w="60" w:type="dxa"/>
              <w:right w:w="6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pPr>
              <w:jc w:val="center"/>
            </w:pPr>
            <w:r>
              <w:rPr>
                <w:color w:val="334155"/>
                <w:sz w:val="17"/>
              </w:rPr>
              <w:t>Dias 26 a 45</w:t>
            </w:r>
          </w:p>
        </w:tc>
        <w:tc>
          <w:tcPr>
            <w:tcW w:type="dxa" w:w="1008"/>
            <w:shd w:fill="FFFFFF"/>
            <w:tcMar>
              <w:top w:w="120" w:type="dxa"/>
              <w:bottom w:w="120" w:type="dxa"/>
              <w:left w:w="60" w:type="dxa"/>
              <w:right w:w="6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pPr>
              <w:jc w:val="center"/>
            </w:pPr>
            <w:r>
              <w:rPr>
                <w:color w:val="64748B"/>
                <w:sz w:val="17"/>
              </w:rPr>
              <w:t>36,7%</w:t>
            </w:r>
          </w:p>
        </w:tc>
        <w:tc>
          <w:tcPr>
            <w:tcW w:type="dxa" w:w="1440"/>
            <w:shd w:fill="FFFFFF"/>
            <w:tcMar>
              <w:top w:w="120" w:type="dxa"/>
              <w:bottom w:w="120" w:type="dxa"/>
              <w:left w:w="8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pPr>
              <w:jc w:val="right"/>
            </w:pPr>
            <w:r>
              <w:rPr>
                <w:b/>
                <w:color w:val="0F172A"/>
                <w:sz w:val="18"/>
              </w:rPr>
              <w:t>R$ 14.600,00</w:t>
            </w:r>
          </w:p>
        </w:tc>
      </w:tr>
      <w:tr>
        <w:tc>
          <w:tcPr>
            <w:tcW w:type="dxa" w:w="1440"/>
            <w:shd w:fill="F8FAFC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8"/>
              </w:rPr>
              <w:t>Bloco D</w:t>
            </w:r>
          </w:p>
        </w:tc>
        <w:tc>
          <w:tcPr>
            <w:tcW w:type="dxa" w:w="3960"/>
            <w:shd w:fill="F8FAFC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7"/>
              </w:rPr>
              <w:t>Adaptação Responsiva Mobile-First (8 Templates em 390px)</w:t>
              <w:br/>
            </w:r>
            <w:r>
              <w:rPr>
                <w:color w:val="334155"/>
                <w:sz w:val="16"/>
              </w:rPr>
              <w:t>Ergonomia touch 44px, gavetas laterais, grid fluido e documentação com Diogo.</w:t>
            </w:r>
          </w:p>
        </w:tc>
        <w:tc>
          <w:tcPr>
            <w:tcW w:type="dxa" w:w="1584"/>
            <w:shd w:fill="F8FAFC"/>
            <w:tcMar>
              <w:top w:w="120" w:type="dxa"/>
              <w:bottom w:w="120" w:type="dxa"/>
              <w:left w:w="60" w:type="dxa"/>
              <w:right w:w="6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pPr>
              <w:jc w:val="center"/>
            </w:pPr>
            <w:r>
              <w:rPr>
                <w:color w:val="334155"/>
                <w:sz w:val="17"/>
              </w:rPr>
              <w:t>Dias 46 a 60</w:t>
            </w:r>
          </w:p>
        </w:tc>
        <w:tc>
          <w:tcPr>
            <w:tcW w:type="dxa" w:w="1008"/>
            <w:shd w:fill="F8FAFC"/>
            <w:tcMar>
              <w:top w:w="120" w:type="dxa"/>
              <w:bottom w:w="120" w:type="dxa"/>
              <w:left w:w="60" w:type="dxa"/>
              <w:right w:w="6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pPr>
              <w:jc w:val="center"/>
            </w:pPr>
            <w:r>
              <w:rPr>
                <w:color w:val="64748B"/>
                <w:sz w:val="17"/>
              </w:rPr>
              <w:t>21,6%</w:t>
            </w:r>
          </w:p>
        </w:tc>
        <w:tc>
          <w:tcPr>
            <w:tcW w:type="dxa" w:w="1440"/>
            <w:shd w:fill="F8FAFC"/>
            <w:tcMar>
              <w:top w:w="120" w:type="dxa"/>
              <w:bottom w:w="120" w:type="dxa"/>
              <w:left w:w="8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pPr>
              <w:jc w:val="right"/>
            </w:pPr>
            <w:r>
              <w:rPr>
                <w:b/>
                <w:color w:val="0F172A"/>
                <w:sz w:val="18"/>
              </w:rPr>
              <w:t>R$ 8.600,00</w:t>
            </w:r>
          </w:p>
        </w:tc>
      </w:tr>
      <w:tr>
        <w:tc>
          <w:tcPr>
            <w:tcW w:type="dxa" w:w="1440"/>
            <w:shd w:fill="F1F5F9"/>
            <w:tcMar>
              <w:top w:w="140" w:type="dxa"/>
              <w:bottom w:w="140" w:type="dxa"/>
              <w:left w:w="100" w:type="dxa"/>
              <w:right w:w="100" w:type="dxa"/>
            </w:tcMar>
            <w:tcBorders>
              <w:top w:val="single" w:sz="8" w:space="0" w:color="0F172A"/>
              <w:bottom w:val="single" w:sz="8" w:space="0" w:color="0F172A"/>
              <w:left w:val="none"/>
              <w:right w:val="none"/>
            </w:tcBorders>
          </w:tcPr>
          <w:p>
            <w:r>
              <w:rPr>
                <w:b/>
                <w:color w:val="0F172A"/>
                <w:sz w:val="18"/>
              </w:rPr>
              <w:t>TOTAL INTEGRADO</w:t>
            </w:r>
          </w:p>
        </w:tc>
        <w:tc>
          <w:tcPr>
            <w:tcW w:type="dxa" w:w="3960"/>
            <w:shd w:fill="F1F5F9"/>
            <w:tcMar>
              <w:top w:w="140" w:type="dxa"/>
              <w:bottom w:w="140" w:type="dxa"/>
              <w:left w:w="100" w:type="dxa"/>
              <w:right w:w="100" w:type="dxa"/>
            </w:tcMar>
            <w:tcBorders>
              <w:top w:val="single" w:sz="8" w:space="0" w:color="0F172A"/>
              <w:bottom w:val="single" w:sz="8" w:space="0" w:color="0F172A"/>
              <w:left w:val="none"/>
              <w:right w:val="none"/>
            </w:tcBorders>
          </w:tcPr>
          <w:p>
            <w:r>
              <w:rPr>
                <w:color w:val="64748B"/>
                <w:sz w:val="17"/>
              </w:rPr>
              <w:t>4 Blocos Técnicos Consolidados</w:t>
            </w:r>
          </w:p>
        </w:tc>
        <w:tc>
          <w:tcPr>
            <w:tcW w:type="dxa" w:w="1584"/>
            <w:shd w:fill="F1F5F9"/>
            <w:tcMar>
              <w:top w:w="140" w:type="dxa"/>
              <w:bottom w:w="140" w:type="dxa"/>
              <w:left w:w="100" w:type="dxa"/>
              <w:right w:w="100" w:type="dxa"/>
            </w:tcMar>
            <w:tcBorders>
              <w:top w:val="single" w:sz="8" w:space="0" w:color="0F172A"/>
              <w:bottom w:val="single" w:sz="8" w:space="0" w:color="0F172A"/>
              <w:left w:val="none"/>
              <w:right w:val="none"/>
            </w:tcBorders>
          </w:tcPr>
          <w:p>
            <w:pPr>
              <w:jc w:val="center"/>
            </w:pPr>
            <w:r>
              <w:rPr>
                <w:b/>
                <w:color w:val="0F172A"/>
                <w:sz w:val="18"/>
              </w:rPr>
              <w:t>60 Dias</w:t>
            </w:r>
          </w:p>
        </w:tc>
        <w:tc>
          <w:tcPr>
            <w:tcW w:type="dxa" w:w="1008"/>
            <w:shd w:fill="F1F5F9"/>
            <w:tcMar>
              <w:top w:w="140" w:type="dxa"/>
              <w:bottom w:w="140" w:type="dxa"/>
              <w:left w:w="100" w:type="dxa"/>
              <w:right w:w="100" w:type="dxa"/>
            </w:tcMar>
            <w:tcBorders>
              <w:top w:val="single" w:sz="8" w:space="0" w:color="0F172A"/>
              <w:bottom w:val="single" w:sz="8" w:space="0" w:color="0F172A"/>
              <w:left w:val="none"/>
              <w:right w:val="none"/>
            </w:tcBorders>
          </w:tcPr>
          <w:p>
            <w:pPr>
              <w:jc w:val="center"/>
            </w:pPr>
            <w:r>
              <w:rPr>
                <w:b/>
                <w:sz w:val="18"/>
              </w:rPr>
              <w:t>100%</w:t>
            </w:r>
          </w:p>
        </w:tc>
        <w:tc>
          <w:tcPr>
            <w:tcW w:type="dxa" w:w="1440"/>
            <w:shd w:fill="F1F5F9"/>
            <w:tcMar>
              <w:top w:w="140" w:type="dxa"/>
              <w:bottom w:w="140" w:type="dxa"/>
              <w:left w:w="100" w:type="dxa"/>
              <w:right w:w="100" w:type="dxa"/>
            </w:tcMar>
            <w:tcBorders>
              <w:top w:val="single" w:sz="8" w:space="0" w:color="0F172A"/>
              <w:bottom w:val="single" w:sz="8" w:space="0" w:color="0F172A"/>
              <w:left w:val="none"/>
              <w:right w:val="none"/>
            </w:tcBorders>
          </w:tcPr>
          <w:p>
            <w:pPr>
              <w:jc w:val="right"/>
            </w:pPr>
            <w:r>
              <w:rPr>
                <w:b/>
                <w:color w:val="B45309"/>
                <w:sz w:val="21"/>
              </w:rPr>
              <w:t>R$ 39.800,00</w:t>
            </w:r>
          </w:p>
        </w:tc>
      </w:tr>
    </w:tbl>
    <w:p>
      <w:pPr>
        <w:spacing w:after="240"/>
      </w:pPr>
    </w:p>
    <w:p>
      <w:pPr>
        <w:spacing w:before="240" w:after="120"/>
      </w:pPr>
      <w:r>
        <w:rPr>
          <w:b/>
          <w:color w:val="0F172A"/>
          <w:sz w:val="26"/>
        </w:rPr>
        <w:t>3. Matriz de 8 Templates Mestres Replicáveis</w:t>
      </w:r>
    </w:p>
    <w:p>
      <w:pPr>
        <w:spacing w:after="160"/>
      </w:pPr>
      <w:r>
        <w:rPr>
          <w:color w:val="334155"/>
          <w:sz w:val="19"/>
        </w:rPr>
        <w:t>Estes 8 moldes estruturais cobrem 100% da operação do portal, absorvendo tanto a frente comercial quanto as obrigações culturais da Rouanet: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c>
          <w:tcPr>
            <w:tcW w:type="dxa" w:w="1584"/>
            <w:shd w:fill="0F172A"/>
            <w:tcMar>
              <w:top w:w="130" w:type="dxa"/>
              <w:bottom w:w="130" w:type="dxa"/>
              <w:left w:w="100" w:type="dxa"/>
              <w:right w:w="100" w:type="dxa"/>
            </w:tcMar>
            <w:tcBorders>
              <w:top w:val="single" w:sz="4" w:space="0" w:color="0F172A"/>
              <w:bottom w:val="single" w:sz="4" w:space="0" w:color="0F172A"/>
              <w:left w:val="none"/>
              <w:right w:val="none"/>
            </w:tcBorders>
          </w:tcPr>
          <w:p>
            <w:r>
              <w:rPr>
                <w:b/>
                <w:color w:val="FFFFFF"/>
                <w:sz w:val="17"/>
              </w:rPr>
              <w:t>Identificador</w:t>
            </w:r>
          </w:p>
        </w:tc>
        <w:tc>
          <w:tcPr>
            <w:tcW w:type="dxa" w:w="3168"/>
            <w:shd w:fill="0F172A"/>
            <w:tcMar>
              <w:top w:w="130" w:type="dxa"/>
              <w:bottom w:w="130" w:type="dxa"/>
              <w:left w:w="100" w:type="dxa"/>
              <w:right w:w="100" w:type="dxa"/>
            </w:tcMar>
            <w:tcBorders>
              <w:top w:val="single" w:sz="4" w:space="0" w:color="0F172A"/>
              <w:bottom w:val="single" w:sz="4" w:space="0" w:color="0F172A"/>
              <w:left w:val="none"/>
              <w:right w:val="none"/>
            </w:tcBorders>
          </w:tcPr>
          <w:p>
            <w:r>
              <w:rPr>
                <w:b/>
                <w:color w:val="FFFFFF"/>
                <w:sz w:val="17"/>
              </w:rPr>
              <w:t>Template Mestre</w:t>
            </w:r>
          </w:p>
        </w:tc>
        <w:tc>
          <w:tcPr>
            <w:tcW w:type="dxa" w:w="4680"/>
            <w:shd w:fill="0F172A"/>
            <w:tcMar>
              <w:top w:w="130" w:type="dxa"/>
              <w:bottom w:w="130" w:type="dxa"/>
              <w:left w:w="100" w:type="dxa"/>
              <w:right w:w="100" w:type="dxa"/>
            </w:tcMar>
            <w:tcBorders>
              <w:top w:val="single" w:sz="4" w:space="0" w:color="0F172A"/>
              <w:bottom w:val="single" w:sz="4" w:space="0" w:color="0F172A"/>
              <w:left w:val="none"/>
              <w:right w:val="none"/>
            </w:tcBorders>
          </w:tcPr>
          <w:p>
            <w:r>
              <w:rPr>
                <w:b/>
                <w:color w:val="FFFFFF"/>
                <w:sz w:val="17"/>
              </w:rPr>
              <w:t>Finalidade &amp; Reutilização no Sistema</w:t>
            </w:r>
          </w:p>
        </w:tc>
      </w:tr>
      <w:tr>
        <w:tc>
          <w:tcPr>
            <w:tcW w:type="dxa" w:w="1584"/>
            <w:shd w:fill="FFFFFF"/>
            <w:tcMar>
              <w:top w:w="100" w:type="dxa"/>
              <w:bottom w:w="100" w:type="dxa"/>
              <w:left w:w="80" w:type="dxa"/>
              <w:right w:w="8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284C7"/>
                <w:sz w:val="16"/>
              </w:rPr>
              <w:t>TPL_01</w:t>
            </w:r>
          </w:p>
        </w:tc>
        <w:tc>
          <w:tcPr>
            <w:tcW w:type="dxa" w:w="3168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7"/>
              </w:rPr>
              <w:t>Home do Portal</w:t>
            </w:r>
          </w:p>
        </w:tc>
        <w:tc>
          <w:tcPr>
            <w:tcW w:type="dxa" w:w="4680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color w:val="334155"/>
                <w:sz w:val="16"/>
              </w:rPr>
              <w:t>Porta de entrada nobre, vitrines dinâmicas, atalhos urbano/rural e chamada solene para a Rouanet.</w:t>
            </w:r>
          </w:p>
        </w:tc>
      </w:tr>
      <w:tr>
        <w:tc>
          <w:tcPr>
            <w:tcW w:type="dxa" w:w="1584"/>
            <w:shd w:fill="F8FAFC"/>
            <w:tcMar>
              <w:top w:w="100" w:type="dxa"/>
              <w:bottom w:w="100" w:type="dxa"/>
              <w:left w:w="80" w:type="dxa"/>
              <w:right w:w="8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284C7"/>
                <w:sz w:val="16"/>
              </w:rPr>
              <w:t>TPL_02</w:t>
            </w:r>
          </w:p>
        </w:tc>
        <w:tc>
          <w:tcPr>
            <w:tcW w:type="dxa" w:w="3168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7"/>
              </w:rPr>
              <w:t>Listagem de Subcategorias</w:t>
            </w:r>
          </w:p>
        </w:tc>
        <w:tc>
          <w:tcPr>
            <w:tcW w:type="dxa" w:w="4680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color w:val="334155"/>
                <w:sz w:val="16"/>
              </w:rPr>
              <w:t>Barra de filtros facetados (bairros, faixas de preço, tags) com cards de resposta rápida.</w:t>
            </w:r>
          </w:p>
        </w:tc>
      </w:tr>
      <w:tr>
        <w:tc>
          <w:tcPr>
            <w:tcW w:type="dxa" w:w="1584"/>
            <w:shd w:fill="FFFFFF"/>
            <w:tcMar>
              <w:top w:w="100" w:type="dxa"/>
              <w:bottom w:w="100" w:type="dxa"/>
              <w:left w:w="80" w:type="dxa"/>
              <w:right w:w="8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284C7"/>
                <w:sz w:val="16"/>
              </w:rPr>
              <w:t>TPL_03</w:t>
            </w:r>
          </w:p>
        </w:tc>
        <w:tc>
          <w:tcPr>
            <w:tcW w:type="dxa" w:w="3168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7"/>
              </w:rPr>
              <w:t>Ficha Comercial Padrão</w:t>
            </w:r>
          </w:p>
        </w:tc>
        <w:tc>
          <w:tcPr>
            <w:tcW w:type="dxa" w:w="4680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color w:val="334155"/>
                <w:sz w:val="16"/>
              </w:rPr>
              <w:t>Focada em conversão rápida: links, horários, fotos com aspect-ratio fixo e CTA WhatsApp.</w:t>
            </w:r>
          </w:p>
        </w:tc>
      </w:tr>
      <w:tr>
        <w:tc>
          <w:tcPr>
            <w:tcW w:type="dxa" w:w="1584"/>
            <w:shd w:fill="F8FAFC"/>
            <w:tcMar>
              <w:top w:w="100" w:type="dxa"/>
              <w:bottom w:w="100" w:type="dxa"/>
              <w:left w:w="80" w:type="dxa"/>
              <w:right w:w="8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284C7"/>
                <w:sz w:val="16"/>
              </w:rPr>
              <w:t>TPL_04</w:t>
            </w:r>
          </w:p>
        </w:tc>
        <w:tc>
          <w:tcPr>
            <w:tcW w:type="dxa" w:w="3168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7"/>
              </w:rPr>
              <w:t>Página de Distrito / Região</w:t>
            </w:r>
          </w:p>
        </w:tc>
        <w:tc>
          <w:tcPr>
            <w:tcW w:type="dxa" w:w="4680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color w:val="334155"/>
                <w:sz w:val="16"/>
              </w:rPr>
              <w:t>Narrativa turística regional, rotas do interior e pontos de interesse (12 distritos de Caxias).</w:t>
            </w:r>
          </w:p>
        </w:tc>
      </w:tr>
      <w:tr>
        <w:tc>
          <w:tcPr>
            <w:tcW w:type="dxa" w:w="1584"/>
            <w:shd w:fill="FFFFFF"/>
            <w:tcMar>
              <w:top w:w="100" w:type="dxa"/>
              <w:bottom w:w="100" w:type="dxa"/>
              <w:left w:w="80" w:type="dxa"/>
              <w:right w:w="8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B45309"/>
                <w:sz w:val="16"/>
              </w:rPr>
              <w:t>TPL_05 (Rouanet)</w:t>
            </w:r>
          </w:p>
        </w:tc>
        <w:tc>
          <w:tcPr>
            <w:tcW w:type="dxa" w:w="3168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7"/>
              </w:rPr>
              <w:t>Hub Patrimônios &amp; Lendas</w:t>
            </w:r>
          </w:p>
        </w:tc>
        <w:tc>
          <w:tcPr>
            <w:tcW w:type="dxa" w:w="4680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color w:val="334155"/>
                <w:sz w:val="16"/>
              </w:rPr>
              <w:t>Coração cultural do projeto: acervo histórico, memória dos imigrantes e patrimônio tombado.</w:t>
            </w:r>
          </w:p>
        </w:tc>
      </w:tr>
      <w:tr>
        <w:tc>
          <w:tcPr>
            <w:tcW w:type="dxa" w:w="1584"/>
            <w:shd w:fill="F8FAFC"/>
            <w:tcMar>
              <w:top w:w="100" w:type="dxa"/>
              <w:bottom w:w="100" w:type="dxa"/>
              <w:left w:w="80" w:type="dxa"/>
              <w:right w:w="8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284C7"/>
                <w:sz w:val="16"/>
              </w:rPr>
              <w:t>TPL_06</w:t>
            </w:r>
          </w:p>
        </w:tc>
        <w:tc>
          <w:tcPr>
            <w:tcW w:type="dxa" w:w="3168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7"/>
              </w:rPr>
              <w:t>Mapa Interativo Estruturado</w:t>
            </w:r>
          </w:p>
        </w:tc>
        <w:tc>
          <w:tcPr>
            <w:tcW w:type="dxa" w:w="4680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color w:val="334155"/>
                <w:sz w:val="16"/>
              </w:rPr>
              <w:t>Base cartográfica contemporânea com pins temáticos, filtros de categorias e drawer lateral.</w:t>
            </w:r>
          </w:p>
        </w:tc>
      </w:tr>
      <w:tr>
        <w:tc>
          <w:tcPr>
            <w:tcW w:type="dxa" w:w="1584"/>
            <w:shd w:fill="FFFFFF"/>
            <w:tcMar>
              <w:top w:w="100" w:type="dxa"/>
              <w:bottom w:w="100" w:type="dxa"/>
              <w:left w:w="80" w:type="dxa"/>
              <w:right w:w="8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284C7"/>
                <w:sz w:val="16"/>
              </w:rPr>
              <w:t>TPL_07</w:t>
            </w:r>
          </w:p>
        </w:tc>
        <w:tc>
          <w:tcPr>
            <w:tcW w:type="dxa" w:w="3168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7"/>
              </w:rPr>
              <w:t>Listagem de Notícias</w:t>
            </w:r>
          </w:p>
        </w:tc>
        <w:tc>
          <w:tcPr>
            <w:tcW w:type="dxa" w:w="4680"/>
            <w:shd w:fill="FFFFFF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color w:val="334155"/>
                <w:sz w:val="16"/>
              </w:rPr>
              <w:t>Grade editorial com destaque semanal, filtros por tema cultural e paginação integrada ao banco.</w:t>
            </w:r>
          </w:p>
        </w:tc>
      </w:tr>
      <w:tr>
        <w:tc>
          <w:tcPr>
            <w:tcW w:type="dxa" w:w="1584"/>
            <w:shd w:fill="F8FAFC"/>
            <w:tcMar>
              <w:top w:w="100" w:type="dxa"/>
              <w:bottom w:w="100" w:type="dxa"/>
              <w:left w:w="80" w:type="dxa"/>
              <w:right w:w="8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B45309"/>
                <w:sz w:val="16"/>
              </w:rPr>
              <w:t>TPL_08 (Rouanet)</w:t>
            </w:r>
          </w:p>
        </w:tc>
        <w:tc>
          <w:tcPr>
            <w:tcW w:type="dxa" w:w="3168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b/>
                <w:color w:val="0F172A"/>
                <w:sz w:val="17"/>
              </w:rPr>
              <w:t>Ficha Rouanet Dedicada</w:t>
            </w:r>
          </w:p>
        </w:tc>
        <w:tc>
          <w:tcPr>
            <w:tcW w:type="dxa" w:w="4680"/>
            <w:shd w:fill="F8FAFC"/>
            <w:tcMar>
              <w:top w:w="100" w:type="dxa"/>
              <w:bottom w:w="100" w:type="dxa"/>
              <w:left w:w="100" w:type="dxa"/>
              <w:right w:w="100" w:type="dxa"/>
            </w:tcMar>
            <w:tcBorders>
              <w:top w:val="single" w:sz="4" w:space="0" w:color="E2E8F0"/>
              <w:bottom w:val="single" w:sz="4" w:space="0" w:color="E2E8F0"/>
              <w:left w:val="none"/>
              <w:right w:val="none"/>
            </w:tcBorders>
          </w:tcPr>
          <w:p>
            <w:r>
              <w:rPr>
                <w:color w:val="334155"/>
                <w:sz w:val="16"/>
              </w:rPr>
              <w:t>Ficha profunda exclusiva para Patrimônio Tombado (Item 6.1 Pacífico - evita misturar com comércio).</w:t>
            </w:r>
          </w:p>
        </w:tc>
      </w:tr>
    </w:tbl>
    <w:p>
      <w:pPr>
        <w:spacing w:after="240"/>
      </w:pPr>
    </w:p>
    <w:p>
      <w:pPr>
        <w:spacing w:before="240" w:after="120"/>
      </w:pPr>
      <w:r>
        <w:rPr>
          <w:b/>
          <w:color w:val="0F172A"/>
          <w:sz w:val="26"/>
        </w:rPr>
        <w:t>4. Alinhamento de Governança: TI (React) &amp; Rouanet (WCAG 2.1 AA)</w:t>
      </w:r>
    </w:p>
    <w:p>
      <w:pPr>
        <w:spacing w:after="80"/>
      </w:pPr>
      <w:r>
        <w:rPr>
          <w:b/>
          <w:color w:val="0F172A"/>
          <w:sz w:val="19"/>
        </w:rPr>
        <w:t xml:space="preserve">• Pacto de Engenharia com o Diogo (TI / React): </w:t>
      </w:r>
      <w:r>
        <w:rPr>
          <w:color w:val="334155"/>
          <w:sz w:val="18"/>
        </w:rPr>
        <w:t>Realizaremos uma reunião prévia de 45 minutos antes do início do Bloco B para sincronizar a nomenclatura dos tokens do Figma com as variáveis do Tailwind/CSS Modules do Diogo. Entregaremos a matriz de estados completa (hover, focus, disabled, skeleton de carregamento e empty state) e travaremos as regras de aspect-ratio para que fotos antigas de clientes não quebrem o layout.</w:t>
      </w:r>
    </w:p>
    <w:p>
      <w:pPr>
        <w:spacing w:after="200"/>
      </w:pPr>
      <w:r>
        <w:rPr>
          <w:b/>
          <w:color w:val="0F172A"/>
          <w:sz w:val="19"/>
        </w:rPr>
        <w:t xml:space="preserve">• Blindagem Rouanet (Acessibilidade WCAG 2.1 AA): </w:t>
      </w:r>
      <w:r>
        <w:rPr>
          <w:color w:val="334155"/>
          <w:sz w:val="18"/>
        </w:rPr>
        <w:t>Rácio de contraste mínimo de 4.5:1 rigorosamente auditado, áreas de toque ergonômicas no mobile (mínimo 44x44px), navegação por teclado e foco visível para tecnologias assistivas. Acompanha relatório visual de checklist de acessibilidade pronto para compor o processo de prestação de contas no Ministério da Cultura, eliminando qualquer risco de glosa.</w:t>
      </w:r>
    </w:p>
    <w:p>
      <w:pPr>
        <w:spacing w:before="200" w:after="120"/>
      </w:pPr>
      <w:r>
        <w:rPr>
          <w:b/>
          <w:color w:val="0F172A"/>
          <w:sz w:val="26"/>
        </w:rPr>
        <w:t>5. Modalidades de Contratação &amp; Pagamento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08"/>
        <w:gridCol w:w="4824"/>
      </w:tblGrid>
      <w:tr>
        <w:tc>
          <w:tcPr>
            <w:tcW w:type="dxa" w:w="4730"/>
            <w:shd w:fill="F8FAFC"/>
            <w:tcMar>
              <w:top w:w="140" w:type="dxa"/>
              <w:bottom w:w="140" w:type="dxa"/>
              <w:left w:w="140" w:type="dxa"/>
              <w:right w:w="140" w:type="dxa"/>
            </w:tcMar>
            <w:tcBorders>
              <w:top w:val="single" w:sz="4" w:space="0" w:color="E2E8F0"/>
              <w:bottom w:val="single" w:sz="4" w:space="0" w:color="E2E8F0"/>
              <w:left w:val="single" w:sz="4" w:space="0" w:color="E2E8F0"/>
              <w:right w:val="single" w:sz="4" w:space="0" w:color="E2E8F0"/>
            </w:tcBorders>
          </w:tcPr>
          <w:p>
            <w:r>
              <w:rPr>
                <w:b/>
                <w:color w:val="64748B"/>
                <w:sz w:val="17"/>
              </w:rPr>
              <w:t>MODALIDADE 01: POR MARCOS DE ENTREGA</w:t>
              <w:br/>
            </w:r>
            <w:r>
              <w:rPr>
                <w:color w:val="334155"/>
                <w:sz w:val="17"/>
              </w:rPr>
              <w:t>Pagamento condicionado à aprovação de cada bloco:</w:t>
              <w:br/>
              <w:t>• Marco 1 (Bloco A - Dia 10): R$ 6.800,00</w:t>
              <w:br/>
              <w:t>• Marco 2 (Bloco B - Dia 25): R$ 9.800,00</w:t>
              <w:br/>
              <w:t>• Marco 3 (Bloco C - Dia 45): R$ 14.600,00</w:t>
              <w:br/>
              <w:t>• Marco 4 (Bloco D - Dia 60): R$ 8.600,00</w:t>
              <w:br/>
            </w:r>
            <w:r>
              <w:rPr>
                <w:b/>
                <w:color w:val="0F172A"/>
                <w:sz w:val="18"/>
              </w:rPr>
              <w:t>Total Consolidado: R$ 39.800,00</w:t>
            </w:r>
          </w:p>
        </w:tc>
        <w:tc>
          <w:tcPr>
            <w:tcW w:type="dxa" w:w="4730"/>
            <w:shd w:fill="F0F9FF"/>
            <w:tcMar>
              <w:top w:w="140" w:type="dxa"/>
              <w:bottom w:w="140" w:type="dxa"/>
              <w:left w:w="140" w:type="dxa"/>
              <w:right w:w="140" w:type="dxa"/>
            </w:tcMar>
            <w:tcBorders>
              <w:top w:val="single" w:sz="12" w:space="0" w:color="BAE6FD"/>
              <w:bottom w:val="single" w:sz="12" w:space="0" w:color="BAE6FD"/>
              <w:left w:val="single" w:sz="12" w:space="0" w:color="0284C7"/>
              <w:right w:val="single" w:sz="12" w:space="0" w:color="BAE6FD"/>
            </w:tcBorders>
          </w:tcPr>
          <w:p>
            <w:r>
              <w:rPr>
                <w:b/>
                <w:color w:val="0284C7"/>
                <w:sz w:val="17"/>
              </w:rPr>
              <w:t>MODALIDADE 02: 4 PARCELAS FIXAS (RECOMENDADA)</w:t>
              <w:br/>
            </w:r>
            <w:r>
              <w:rPr>
                <w:b/>
                <w:color w:val="B45309"/>
                <w:sz w:val="26"/>
              </w:rPr>
              <w:t>4x R$ 9.950,00 quinzenais</w:t>
              <w:br/>
            </w:r>
            <w:r>
              <w:rPr>
                <w:color w:val="334155"/>
                <w:sz w:val="17"/>
              </w:rPr>
              <w:t>• Entrada na formalização da proposta</w:t>
              <w:br/>
              <w:t>• 2ª Parcela aos 15 dias</w:t>
              <w:br/>
              <w:t>• 3ª Parcela aos 30 dias</w:t>
              <w:br/>
              <w:t>• 4ª Parcela aos 45 dias</w:t>
              <w:br/>
              <w:t>Fluxo previsível e linear ao longo dos 60 dias de projeto.</w:t>
            </w:r>
          </w:p>
        </w:tc>
      </w:tr>
    </w:tbl>
    <w:p>
      <w:pPr>
        <w:spacing w:after="28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7560"/>
      </w:tblGrid>
      <w:tr>
        <w:tc>
          <w:tcPr>
            <w:tcW w:type="dxa" w:w="4730"/>
            <w:shd w:fill="F8FAFC"/>
            <w:tcMar>
              <w:top w:w="160" w:type="dxa"/>
              <w:bottom w:w="160" w:type="dxa"/>
              <w:left w:w="140" w:type="dxa"/>
              <w:right w:w="60" w:type="dxa"/>
            </w:tcMar>
            <w:tcBorders>
              <w:top w:val="single" w:sz="10" w:space="0" w:color="0284C7"/>
              <w:bottom w:val="single" w:sz="10" w:space="0" w:color="CBD5E1"/>
              <w:left w:val="single" w:sz="10" w:space="0" w:color="CBD5E1"/>
              <w:right w:val="none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jeff-avata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730"/>
            <w:shd w:fill="F8FAFC"/>
            <w:tcMar>
              <w:top w:w="160" w:type="dxa"/>
              <w:bottom w:w="160" w:type="dxa"/>
              <w:left w:w="100" w:type="dxa"/>
              <w:right w:w="160" w:type="dxa"/>
            </w:tcMar>
            <w:tcBorders>
              <w:top w:val="single" w:sz="10" w:space="0" w:color="0284C7"/>
              <w:bottom w:val="single" w:sz="10" w:space="0" w:color="CBD5E1"/>
              <w:left w:val="none"/>
              <w:right w:val="single" w:sz="10" w:space="0" w:color="CBD5E1"/>
            </w:tcBorders>
          </w:tcPr>
          <w:p>
            <w:r>
              <w:rPr>
                <w:b/>
                <w:color w:val="0284C7"/>
                <w:sz w:val="16"/>
              </w:rPr>
              <w:t>SERVICE DESIGN &amp; AI BUSINESS INTELLIGENCE</w:t>
              <w:br/>
            </w:r>
            <w:r>
              <w:rPr>
                <w:b/>
                <w:color w:val="0F172A"/>
                <w:sz w:val="24"/>
              </w:rPr>
              <w:t>Jefferson Motta</w:t>
              <w:br/>
            </w:r>
            <w:r>
              <w:rPr>
                <w:color w:val="64748B"/>
                <w:sz w:val="17"/>
              </w:rPr>
              <w:t>Service Designer e Especialista em Produto Digital na Onira Labs • Caxias do Sul – Serra Gaúcha</w:t>
              <w:br/>
              <w:br/>
            </w:r>
            <w:r>
              <w:rPr>
                <w:i/>
                <w:color w:val="334155"/>
                <w:sz w:val="17"/>
              </w:rPr>
              <w:t>"Nosso compromisso com a Soul e o Guia de Caxias do Sul é unir rigor técnico e elegância visual: entregaremos um Design System com tokens reutilizáveis que o Diogo consiga traduzir diretamente em React, blindando 100% da acessibilidade legal (WCAG 2.1 AA) para a prestação de contas da Lei Rouanet e estruturando o ecossistema para escala sustentável pelos próximos anos."</w:t>
              <w:br/>
              <w:br/>
            </w:r>
            <w:r>
              <w:rPr>
                <w:color w:val="0284C7"/>
                <w:sz w:val="16"/>
              </w:rPr>
              <w:t>LinkedIn Oficial: linkedin.com/in/jeff-motta  |  Portfólio &amp; Metodologia: jeffmotta.framer.website</w:t>
              <w:br/>
              <w:t>Onira Labs: oniralabs.framer.website  •  Acesso Web Proposta: guia-caxias-soul.pages.dev</w:t>
            </w:r>
          </w:p>
        </w:tc>
      </w:tr>
    </w:tbl>
    <w:sectPr w:rsidR="00FC693F" w:rsidRPr="0006063C" w:rsidSect="00034616">
      <w:footerReference w:type="default" r:id="rId9"/>
      <w:pgSz w:w="11909" w:h="16834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94A3B8"/>
        <w:sz w:val="16"/>
      </w:rPr>
      <w:t>Onira Labs × Soul Branding • Proposta Comercial Guia de Caxias do Sul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